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EBB7" w14:textId="5A9D0311" w:rsidR="00426941" w:rsidRPr="009A7A29" w:rsidRDefault="009A7A29" w:rsidP="009A7A29">
      <w:pPr>
        <w:jc w:val="center"/>
        <w:rPr>
          <w:b/>
          <w:bCs/>
        </w:rPr>
      </w:pPr>
      <w:r w:rsidRPr="009A7A29">
        <w:rPr>
          <w:b/>
          <w:bCs/>
        </w:rPr>
        <w:t>What is a watercourse?</w:t>
      </w:r>
    </w:p>
    <w:p w14:paraId="796E3EA4" w14:textId="2A477A2B" w:rsidR="009A7A29" w:rsidRDefault="009A7A29" w:rsidP="009A7A29">
      <w:r>
        <w:t xml:space="preserve">The maps produced below are from Qld Globe which is a publicly available internet mapping program  </w:t>
      </w:r>
      <w:hyperlink r:id="rId5" w:history="1">
        <w:r w:rsidRPr="006E59ED">
          <w:rPr>
            <w:rStyle w:val="Hyperlink"/>
          </w:rPr>
          <w:t>https://qldglobe.information.qld.gov.au/</w:t>
        </w:r>
      </w:hyperlink>
      <w:r>
        <w:t xml:space="preserve"> that uses the </w:t>
      </w:r>
      <w:r w:rsidRPr="009A7A29">
        <w:t>Vegetation management watercourse and drainage feature</w:t>
      </w:r>
      <w:r>
        <w:t xml:space="preserve"> </w:t>
      </w:r>
      <w:r w:rsidRPr="009A7A29">
        <w:t xml:space="preserve">map (1:100000 and 1:250000) – Queensland except </w:t>
      </w:r>
      <w:proofErr w:type="gramStart"/>
      <w:r w:rsidRPr="009A7A29">
        <w:t>South</w:t>
      </w:r>
      <w:r>
        <w:t xml:space="preserve"> </w:t>
      </w:r>
      <w:r w:rsidRPr="009A7A29">
        <w:t>East</w:t>
      </w:r>
      <w:proofErr w:type="gramEnd"/>
      <w:r w:rsidRPr="009A7A29">
        <w:t xml:space="preserve"> Queensland</w:t>
      </w:r>
      <w:r>
        <w:t xml:space="preserve"> </w:t>
      </w:r>
      <w:r w:rsidRPr="009A7A29">
        <w:t>Version 5.0</w:t>
      </w:r>
      <w:r>
        <w:t xml:space="preserve"> as its data source. These maps and data with many other data layers are freely available to all members of the public. These data layer cleanly define a recognised watercourse across farming districts.   </w:t>
      </w:r>
    </w:p>
    <w:p w14:paraId="5932AEC7" w14:textId="0BCFA121" w:rsidR="009A7A29" w:rsidRDefault="009A7A29" w:rsidP="009A7A29"/>
    <w:p w14:paraId="18A7F27F" w14:textId="31392275" w:rsidR="009A7A29" w:rsidRDefault="009A7A29" w:rsidP="009A7A29">
      <w:r>
        <w:t xml:space="preserve">These watercourse are important when using agriculture chemicals as each individual label may refer to their use around a waterway or natural aquatic areas. These include non- wind buffers and Downwind buffers.  </w:t>
      </w:r>
    </w:p>
    <w:p w14:paraId="064126DF" w14:textId="6D9C7272" w:rsidR="009A7A29" w:rsidRDefault="009A7A29" w:rsidP="009A7A29">
      <w:r>
        <w:rPr>
          <w:noProof/>
        </w:rPr>
        <w:drawing>
          <wp:anchor distT="0" distB="0" distL="114300" distR="114300" simplePos="0" relativeHeight="251658240" behindDoc="0" locked="0" layoutInCell="1" allowOverlap="1" wp14:anchorId="4459AA54" wp14:editId="6D966A9D">
            <wp:simplePos x="0" y="0"/>
            <wp:positionH relativeFrom="page">
              <wp:posOffset>3322955</wp:posOffset>
            </wp:positionH>
            <wp:positionV relativeFrom="paragraph">
              <wp:posOffset>114935</wp:posOffset>
            </wp:positionV>
            <wp:extent cx="3989705" cy="301879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29A17F5-BA6E-4642-91D9-EF01045618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29A17F5-BA6E-4642-91D9-EF01045618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34907" w14:textId="564D4E9A" w:rsidR="009A7A29" w:rsidRDefault="009A7A29" w:rsidP="009A7A29"/>
    <w:p w14:paraId="45C51FF5" w14:textId="444030C9" w:rsidR="009A7A29" w:rsidRDefault="009A7A29" w:rsidP="009A7A29">
      <w:r w:rsidRPr="00426941">
        <w:drawing>
          <wp:anchor distT="0" distB="0" distL="114300" distR="114300" simplePos="0" relativeHeight="251659264" behindDoc="0" locked="0" layoutInCell="1" allowOverlap="1" wp14:anchorId="2EA6DCC3" wp14:editId="546F85D8">
            <wp:simplePos x="0" y="0"/>
            <wp:positionH relativeFrom="page">
              <wp:posOffset>406400</wp:posOffset>
            </wp:positionH>
            <wp:positionV relativeFrom="paragraph">
              <wp:posOffset>270510</wp:posOffset>
            </wp:positionV>
            <wp:extent cx="2179554" cy="3295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54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A22D6" w14:textId="6210A69D" w:rsidR="009A7A29" w:rsidRDefault="009A7A29" w:rsidP="009A7A29"/>
    <w:p w14:paraId="448A4EA7" w14:textId="575C9044" w:rsidR="009A7A29" w:rsidRDefault="009A7A29" w:rsidP="009A7A29"/>
    <w:p w14:paraId="3694BC49" w14:textId="671185BF" w:rsidR="009A7A29" w:rsidRDefault="009A7A29" w:rsidP="009A7A29"/>
    <w:p w14:paraId="6771430D" w14:textId="6027EC61" w:rsidR="009A7A29" w:rsidRDefault="009A7A29" w:rsidP="009A7A29"/>
    <w:p w14:paraId="76AD82C9" w14:textId="647C479E" w:rsidR="009A7A29" w:rsidRDefault="009A7A29" w:rsidP="009A7A29"/>
    <w:p w14:paraId="2280D4A2" w14:textId="58493631" w:rsidR="009A7A29" w:rsidRDefault="009A7A29" w:rsidP="009A7A29"/>
    <w:p w14:paraId="568D9452" w14:textId="6EA9C739" w:rsidR="009A7A29" w:rsidRDefault="009A7A29" w:rsidP="009A7A29"/>
    <w:p w14:paraId="18CB7BCC" w14:textId="2903385B" w:rsidR="009A7A29" w:rsidRDefault="009A7A29" w:rsidP="009A7A29"/>
    <w:p w14:paraId="5E3E5E0F" w14:textId="19AB3D58" w:rsidR="009A7A29" w:rsidRDefault="009A7A29" w:rsidP="009A7A29"/>
    <w:p w14:paraId="595D0EEA" w14:textId="62121ED1" w:rsidR="009A7A29" w:rsidRDefault="009A7A29" w:rsidP="009A7A29"/>
    <w:p w14:paraId="6C3522C5" w14:textId="4D83E084" w:rsidR="009A7A29" w:rsidRDefault="009A7A29" w:rsidP="009A7A29"/>
    <w:p w14:paraId="57491905" w14:textId="2A51B254" w:rsidR="009A7A29" w:rsidRDefault="009A7A29" w:rsidP="009A7A29"/>
    <w:p w14:paraId="1B330E5E" w14:textId="10BAFB6D" w:rsidR="009A7A29" w:rsidRDefault="009A7A29" w:rsidP="009A7A29"/>
    <w:p w14:paraId="704C3ED0" w14:textId="3812B6F0" w:rsidR="009A7A29" w:rsidRDefault="009A7A29" w:rsidP="009A7A29"/>
    <w:p w14:paraId="014D7469" w14:textId="77777777" w:rsidR="00F15D20" w:rsidRDefault="009A7A29" w:rsidP="009A7A29">
      <w:r>
        <w:t xml:space="preserve">The </w:t>
      </w:r>
      <w:proofErr w:type="spellStart"/>
      <w:r>
        <w:t>Chemcial</w:t>
      </w:r>
      <w:proofErr w:type="spellEnd"/>
      <w:r>
        <w:t xml:space="preserve"> Usage (Agricultural and Veterinary) Control Regulation 2017 refers to a defin</w:t>
      </w:r>
      <w:r w:rsidR="00F15D20">
        <w:t>ition of a waterbody as:</w:t>
      </w:r>
    </w:p>
    <w:p w14:paraId="5E9B6797" w14:textId="365D7818" w:rsidR="009A7A29" w:rsidRPr="00426941" w:rsidRDefault="009A7A29" w:rsidP="00F1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 </w:t>
      </w:r>
      <w:bookmarkStart w:id="0" w:name="sec.16-def.waterbody-oc.2"/>
      <w:bookmarkEnd w:id="0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water body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is—</w:t>
      </w:r>
    </w:p>
    <w:p w14:paraId="0AE1FDC0" w14:textId="77777777" w:rsidR="009A7A29" w:rsidRPr="00426941" w:rsidRDefault="009A7A29" w:rsidP="00F1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(a)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 natural channel, </w:t>
      </w:r>
      <w:proofErr w:type="gramStart"/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whether or not</w:t>
      </w:r>
      <w:proofErr w:type="gramEnd"/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containing water; or</w:t>
      </w:r>
    </w:p>
    <w:p w14:paraId="1AD065D3" w14:textId="77777777" w:rsidR="009A7A29" w:rsidRPr="00426941" w:rsidRDefault="009A7A29" w:rsidP="00F15D20">
      <w:pPr>
        <w:shd w:val="clear" w:color="auto" w:fill="FFFFFF"/>
        <w:spacing w:before="16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bookmarkStart w:id="1" w:name="sec.16-ssec.1-para1.a-note"/>
      <w:bookmarkEnd w:id="1"/>
      <w:r w:rsidRPr="0042694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AU"/>
        </w:rPr>
        <w:t>Examples—</w:t>
      </w:r>
    </w:p>
    <w:p w14:paraId="47DF1689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42694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a creek, </w:t>
      </w:r>
      <w:proofErr w:type="gramStart"/>
      <w:r w:rsidRPr="0042694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river</w:t>
      </w:r>
      <w:proofErr w:type="gramEnd"/>
      <w:r w:rsidRPr="0042694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or stream</w:t>
      </w:r>
    </w:p>
    <w:p w14:paraId="5470592A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(b)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an artificial channel, other than an irrigation channel or interrow furrow, </w:t>
      </w:r>
      <w:proofErr w:type="gramStart"/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whether or not</w:t>
      </w:r>
      <w:proofErr w:type="gramEnd"/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containing water; or</w:t>
      </w:r>
    </w:p>
    <w:p w14:paraId="75198076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(c)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 area in which water is or can be contained by a dam or weir at full supply level; or</w:t>
      </w:r>
    </w:p>
    <w:p w14:paraId="6E6237C2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(d)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 wetland.</w:t>
      </w:r>
    </w:p>
    <w:p w14:paraId="49020849" w14:textId="28F2DDDA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lastRenderedPageBreak/>
        <w:t>Also, to remove any doubt, it is declared that if there is more than 1 natural channel within the outer limits of a water body, each channel is a </w:t>
      </w:r>
      <w:bookmarkStart w:id="2" w:name="sec.16-def.waterbody-oc.3"/>
      <w:bookmarkEnd w:id="2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water body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6E04A744" w14:textId="77777777" w:rsidR="009A7A29" w:rsidRDefault="009A7A29" w:rsidP="00F1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1157F922" w14:textId="5AFD0C22" w:rsidR="009A7A29" w:rsidRPr="00426941" w:rsidRDefault="009A7A29" w:rsidP="00F1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However, a </w:t>
      </w:r>
      <w:bookmarkStart w:id="3" w:name="sec.16-def.waterbody-oc.4"/>
      <w:bookmarkEnd w:id="3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water body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does not include—</w:t>
      </w:r>
    </w:p>
    <w:p w14:paraId="76FD40F9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(a)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 drainage depression; or</w:t>
      </w:r>
    </w:p>
    <w:p w14:paraId="6CB2966D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(b)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 effective vegetated treatment area; or</w:t>
      </w:r>
    </w:p>
    <w:p w14:paraId="1A41CB1C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(c)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an area in which water is, or can be, contained by a dam or weir that is on land owned or occupied by an entity other than the Commonwealth, the </w:t>
      </w:r>
      <w:proofErr w:type="gramStart"/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State</w:t>
      </w:r>
      <w:proofErr w:type="gramEnd"/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or a local government; or</w:t>
      </w:r>
    </w:p>
    <w:p w14:paraId="6919C038" w14:textId="77777777" w:rsidR="009A7A29" w:rsidRPr="00426941" w:rsidRDefault="009A7A29" w:rsidP="00F1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(d)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 area inundated by water contained by a structure if the water is separate from and not flowing into a channel, dam, weir, or wetland to which subsection (1) or (2) applies.</w:t>
      </w:r>
    </w:p>
    <w:p w14:paraId="1BF01663" w14:textId="77777777" w:rsidR="009A7A29" w:rsidRPr="00426941" w:rsidRDefault="009A7A29" w:rsidP="00F15D20">
      <w:pPr>
        <w:shd w:val="clear" w:color="auto" w:fill="FFFFFF"/>
        <w:spacing w:before="16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bookmarkStart w:id="4" w:name="sec.16-ssec.3-para1.d-note"/>
      <w:bookmarkEnd w:id="4"/>
      <w:r w:rsidRPr="0042694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/>
        </w:rPr>
        <w:t>Examples of a structure—</w:t>
      </w:r>
    </w:p>
    <w:p w14:paraId="649798F9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 recycling pit, retention dam or sediment trap</w:t>
      </w:r>
    </w:p>
    <w:p w14:paraId="26D46D76" w14:textId="77777777" w:rsidR="009A7A29" w:rsidRDefault="009A7A29" w:rsidP="00F1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20D77842" w14:textId="77777777" w:rsidR="009A7A29" w:rsidRPr="00426941" w:rsidRDefault="009A7A29" w:rsidP="00F15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(4)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 this section—</w:t>
      </w:r>
    </w:p>
    <w:p w14:paraId="052D354D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bookmarkStart w:id="5" w:name="sec.16-ssec.4-def.drainagedepression"/>
      <w:bookmarkEnd w:id="5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drainage depression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means a channel, other than a drainage line or interrow furrow, that—</w:t>
      </w:r>
    </w:p>
    <w:p w14:paraId="32627CBA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(a)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i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 within a field or paddock in which sugarcane is grown but not at or near the perimeter of the field or paddock; and</w:t>
      </w:r>
    </w:p>
    <w:p w14:paraId="0757B66D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(b)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contains a permanent or intermittent flow of run-off; and</w:t>
      </w:r>
    </w:p>
    <w:p w14:paraId="4AFE38AE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(c)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can be easily crossed by an agricultural machine, including, for example, a planter.</w:t>
      </w:r>
    </w:p>
    <w:p w14:paraId="15D1572F" w14:textId="77777777" w:rsidR="009A7A29" w:rsidRPr="00426941" w:rsidRDefault="009A7A29" w:rsidP="00F15D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bookmarkStart w:id="6" w:name="sec.16-ssec.4-def.fullsupplylevel"/>
      <w:bookmarkEnd w:id="6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full supply level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, for a dam or weir, means the level of the water surface when the dam or weir is holding as much water as it can hold while not affected by flood.</w:t>
      </w:r>
    </w:p>
    <w:p w14:paraId="1B0A761A" w14:textId="77777777" w:rsidR="009A7A29" w:rsidRDefault="009A7A29" w:rsidP="00F15D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bookmarkStart w:id="7" w:name="sec.17"/>
      <w:bookmarkEnd w:id="7"/>
    </w:p>
    <w:p w14:paraId="7B61769E" w14:textId="5428DBC7" w:rsidR="009A7A29" w:rsidRPr="00426941" w:rsidRDefault="009A7A29" w:rsidP="00F15D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What is the </w:t>
      </w:r>
      <w:bookmarkStart w:id="8" w:name=""/>
      <w:bookmarkEnd w:id="8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edge</w:t>
      </w:r>
      <w:r w:rsidRPr="00426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 of a water </w:t>
      </w:r>
      <w:proofErr w:type="gramStart"/>
      <w:r w:rsidRPr="004269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body</w:t>
      </w:r>
      <w:proofErr w:type="gramEnd"/>
    </w:p>
    <w:p w14:paraId="65108DEC" w14:textId="77777777" w:rsidR="009A7A29" w:rsidRPr="00426941" w:rsidRDefault="009A7A29" w:rsidP="00F15D2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 </w:t>
      </w:r>
      <w:bookmarkStart w:id="9" w:name="sec.17-def.edge-oc.2"/>
      <w:bookmarkEnd w:id="9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edge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of a water body is the place at which the bank of the water body meets the adjacent flood zone.</w:t>
      </w:r>
    </w:p>
    <w:p w14:paraId="472180C2" w14:textId="77777777" w:rsidR="009A7A29" w:rsidRPr="00426941" w:rsidRDefault="009A7A29" w:rsidP="00F15D2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However, if there is no obvious place under subsection (1), the </w:t>
      </w:r>
      <w:bookmarkStart w:id="10" w:name="sec.17-def.edge-oc.3"/>
      <w:bookmarkEnd w:id="10"/>
      <w:r w:rsidRPr="0042694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  <w:t>edge</w:t>
      </w:r>
      <w:r w:rsidRPr="0042694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of the water body is the part of the bank of the water body where the downward slope toward the bed of the water body is more than 2%.</w:t>
      </w:r>
    </w:p>
    <w:p w14:paraId="6BFE3DF2" w14:textId="77777777" w:rsidR="009A7A29" w:rsidRPr="00426941" w:rsidRDefault="009A7A29" w:rsidP="00F15D20"/>
    <w:sectPr w:rsidR="009A7A29" w:rsidRPr="00426941" w:rsidSect="00426941">
      <w:pgSz w:w="11906" w:h="16838"/>
      <w:pgMar w:top="851" w:right="14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F6E"/>
    <w:multiLevelType w:val="hybridMultilevel"/>
    <w:tmpl w:val="51B4BA82"/>
    <w:lvl w:ilvl="0" w:tplc="03DA01E6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41"/>
    <w:rsid w:val="00297E9E"/>
    <w:rsid w:val="00426941"/>
    <w:rsid w:val="009A7A29"/>
    <w:rsid w:val="00F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8148"/>
  <w15:chartTrackingRefBased/>
  <w15:docId w15:val="{AEB0B0E4-CCFB-4B3C-8C36-DB8C99F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958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48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48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4070">
                      <w:blockQuote w:val="1"/>
                      <w:marLeft w:val="3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102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74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76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9519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40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68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32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42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17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6623">
                      <w:blockQuote w:val="1"/>
                      <w:marLeft w:val="3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7906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280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92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491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32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8107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20153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279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85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qldglobe.information.qld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Morris</dc:creator>
  <cp:keywords/>
  <dc:description/>
  <cp:lastModifiedBy>Phillip Morris</cp:lastModifiedBy>
  <cp:revision>1</cp:revision>
  <dcterms:created xsi:type="dcterms:W3CDTF">2021-11-11T02:35:00Z</dcterms:created>
  <dcterms:modified xsi:type="dcterms:W3CDTF">2021-11-11T03:04:00Z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20211111124007232</vt:lpwstr>
  </property>
</Properties>
</file>